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130" w:rsidRPr="00F32161" w:rsidRDefault="004A6130" w:rsidP="00342A8E">
      <w:pPr>
        <w:shd w:val="clear" w:color="auto" w:fill="FFFFFF"/>
        <w:spacing w:after="150" w:line="240" w:lineRule="auto"/>
        <w:ind w:firstLine="708"/>
        <w:rPr>
          <w:rFonts w:ascii="Bookman Old Style" w:hAnsi="Bookman Old Style" w:cs="Times New Roman"/>
          <w:sz w:val="24"/>
          <w:szCs w:val="24"/>
          <w:lang w:val="bg-BG"/>
        </w:rPr>
      </w:pPr>
      <w:r w:rsidRPr="00F32161">
        <w:rPr>
          <w:rFonts w:ascii="Bookman Old Style" w:hAnsi="Bookman Old Style" w:cs="Times New Roman"/>
          <w:sz w:val="24"/>
          <w:szCs w:val="24"/>
          <w:shd w:val="clear" w:color="auto" w:fill="FFFFFF"/>
          <w:lang w:val="bg-BG"/>
        </w:rPr>
        <w:t>ОСОБЕНО МНЕНИЕ:</w:t>
      </w:r>
    </w:p>
    <w:p w:rsidR="004A6130" w:rsidRPr="00F32161" w:rsidRDefault="004A6130" w:rsidP="00066FEC">
      <w:pPr>
        <w:pStyle w:val="ListParagraph"/>
        <w:numPr>
          <w:ilvl w:val="0"/>
          <w:numId w:val="1"/>
        </w:numPr>
        <w:shd w:val="clear" w:color="auto" w:fill="FFFFFF" w:themeFill="background1"/>
        <w:spacing w:before="120"/>
        <w:ind w:left="0" w:firstLine="0"/>
        <w:jc w:val="both"/>
        <w:rPr>
          <w:rFonts w:ascii="Bookman Old Style" w:hAnsi="Bookman Old Style"/>
          <w:shd w:val="clear" w:color="auto" w:fill="FFFFFF"/>
        </w:rPr>
      </w:pPr>
      <w:r w:rsidRPr="00F32161">
        <w:rPr>
          <w:rFonts w:ascii="Bookman Old Style" w:hAnsi="Bookman Old Style"/>
        </w:rPr>
        <w:t xml:space="preserve">Подписваме с особено мнение решението, тъй като не сме съгласни с направения от мнозинството на РИК в 24 ИР – София изводи, </w:t>
      </w:r>
      <w:r w:rsidRPr="00F32161">
        <w:rPr>
          <w:rFonts w:ascii="Bookman Old Style" w:hAnsi="Bookman Old Style"/>
          <w:bCs/>
          <w:kern w:val="36"/>
        </w:rPr>
        <w:t>че следва да се възложи на кметовете на посочените райони на територията на РИК в 24 София</w:t>
      </w:r>
      <w:r w:rsidRPr="00F32161">
        <w:rPr>
          <w:rFonts w:ascii="Bookman Old Style" w:hAnsi="Bookman Old Style"/>
        </w:rPr>
        <w:t xml:space="preserve"> </w:t>
      </w:r>
      <w:r w:rsidRPr="00F32161">
        <w:rPr>
          <w:rFonts w:ascii="Bookman Old Style" w:hAnsi="Bookman Old Style"/>
          <w:bCs/>
          <w:kern w:val="36"/>
        </w:rPr>
        <w:t xml:space="preserve">незабавно да премахнат съответните агитационни материали на </w:t>
      </w:r>
      <w:r w:rsidR="00066FEC">
        <w:rPr>
          <w:rFonts w:ascii="Bookman Old Style" w:hAnsi="Bookman Old Style"/>
          <w:bCs/>
          <w:kern w:val="36"/>
        </w:rPr>
        <w:t>територията на РИК в 24 – София, които се приема, че са постановени в нарушение на ИК.</w:t>
      </w:r>
    </w:p>
    <w:p w:rsidR="005F2CAD" w:rsidRPr="00F32161" w:rsidRDefault="005F2CAD" w:rsidP="00066FEC">
      <w:pPr>
        <w:pStyle w:val="ListParagraph"/>
        <w:numPr>
          <w:ilvl w:val="0"/>
          <w:numId w:val="1"/>
        </w:numPr>
        <w:ind w:left="0" w:firstLine="0"/>
        <w:jc w:val="both"/>
        <w:rPr>
          <w:rFonts w:ascii="Bookman Old Style" w:hAnsi="Bookman Old Style"/>
        </w:rPr>
      </w:pPr>
      <w:r w:rsidRPr="00F32161">
        <w:rPr>
          <w:rFonts w:ascii="Bookman Old Style" w:hAnsi="Bookman Old Style"/>
        </w:rPr>
        <w:t>В РИК в 24 ИР – София е постъпила Жалба с Вх. № 207/28.05.2024 г. в 15:34 ч. от Даниела Райчева – упълномощен представител на КП ГЕРБ-СДС. Жалбата е заведена под № 2 от 28.05.2024 г. в Електронния публичен регистър на жалбите и сигналите, подадени до РИК и решенията по тях.</w:t>
      </w:r>
    </w:p>
    <w:p w:rsidR="005F2CAD" w:rsidRPr="00F32161" w:rsidRDefault="005F2CAD" w:rsidP="00066FEC">
      <w:pPr>
        <w:spacing w:line="240" w:lineRule="auto"/>
        <w:ind w:firstLine="708"/>
        <w:rPr>
          <w:rFonts w:ascii="Bookman Old Style" w:hAnsi="Bookman Old Style"/>
          <w:sz w:val="24"/>
          <w:szCs w:val="24"/>
          <w:lang w:val="bg-BG"/>
        </w:rPr>
      </w:pPr>
      <w:r w:rsidRPr="00F32161">
        <w:rPr>
          <w:rFonts w:ascii="Bookman Old Style" w:hAnsi="Bookman Old Style"/>
          <w:sz w:val="24"/>
          <w:szCs w:val="24"/>
          <w:lang w:val="bg-BG"/>
        </w:rPr>
        <w:t>В жалбата се излагат твърдения, че в гр. София, на спирка 2002, Козлодуй на бул. Мария Луиза са поставени агитационни материали. Според жалбоподателя е налице нарушение на чл. 183, ал. 4 ИК във вр. с пар. 1, т. 17 ИК. Изтъква се, че без съгласието г-н Бойко Борисов, председател на КП ГЕРБ-СДС, е използвано негово изображение. Посочва се, че по този начин е уронен престижът на г-н Борисов и агитационните материали накърняват добрите нрави, както и законовите изисквания и правила за предизборна кампания. Към жалбата е приложен снимков материал на агитационните материали.</w:t>
      </w:r>
    </w:p>
    <w:p w:rsidR="005F2CAD" w:rsidRPr="00F32161" w:rsidRDefault="005F2CAD" w:rsidP="00066FEC">
      <w:pPr>
        <w:spacing w:line="240" w:lineRule="auto"/>
        <w:ind w:firstLine="708"/>
        <w:rPr>
          <w:rFonts w:ascii="Bookman Old Style" w:hAnsi="Bookman Old Style" w:cs="Helvetica"/>
          <w:sz w:val="24"/>
          <w:szCs w:val="24"/>
          <w:shd w:val="clear" w:color="auto" w:fill="FFFFFF"/>
          <w:lang w:val="bg-BG"/>
        </w:rPr>
      </w:pPr>
      <w:r w:rsidRPr="00F32161">
        <w:rPr>
          <w:rFonts w:ascii="Bookman Old Style" w:hAnsi="Bookman Old Style"/>
          <w:sz w:val="24"/>
          <w:szCs w:val="24"/>
          <w:lang w:val="bg-BG"/>
        </w:rPr>
        <w:t>С Решение № 3371-НС от 27 май 2024 г. на ЦИК е установено</w:t>
      </w:r>
      <w:r w:rsidRPr="00F32161">
        <w:rPr>
          <w:rFonts w:ascii="Bookman Old Style" w:hAnsi="Bookman Old Style" w:cs="Helvetica"/>
          <w:sz w:val="24"/>
          <w:szCs w:val="24"/>
          <w:shd w:val="clear" w:color="auto" w:fill="FFFFFF"/>
          <w:lang w:val="bg-BG"/>
        </w:rPr>
        <w:t xml:space="preserve"> нарушение по чл. 183, ал. 4 ИК, във вр. с § 1 т.17 ИК, извършено от Николай Денков Денков, кандидат за народен представител на КП „Продължаваме Промяната – Демократична България“ в изборите за народни представители на 9 юни 2024 г. и е възложено на областните управители на области с административни центрове гр. София и гр. Пловдив незабавно да премахнат съответните материали на териториите на двете области. От мотивите на решението на ЦИК е видно, че последното касае </w:t>
      </w:r>
      <w:r w:rsidRPr="00F32161">
        <w:rPr>
          <w:rFonts w:ascii="Bookman Old Style" w:hAnsi="Bookman Old Style"/>
          <w:sz w:val="24"/>
          <w:szCs w:val="24"/>
          <w:lang w:val="bg-BG"/>
        </w:rPr>
        <w:t>идентични агитационни материали, относно които е депозирана Жалба с Вх. № 207/28.05.2024 г. в РИК в 24</w:t>
      </w:r>
      <w:r w:rsidRPr="00F32161">
        <w:rPr>
          <w:rFonts w:ascii="Bookman Old Style" w:hAnsi="Bookman Old Style" w:cs="Helvetica"/>
          <w:sz w:val="24"/>
          <w:szCs w:val="24"/>
          <w:shd w:val="clear" w:color="auto" w:fill="FFFFFF"/>
          <w:lang w:val="bg-BG"/>
        </w:rPr>
        <w:t xml:space="preserve"> ИР – София. От мотивите на решението на ЦИК става ясно също така, че идентични агитационни материали са поставени в гр. София на бул. „България“ и в гр. Пловдив на ул. „Сава Муткуров“.</w:t>
      </w:r>
    </w:p>
    <w:p w:rsidR="005F2CAD" w:rsidRPr="00F32161" w:rsidRDefault="005F2CAD" w:rsidP="00066FEC">
      <w:pPr>
        <w:spacing w:line="240" w:lineRule="auto"/>
        <w:ind w:firstLine="708"/>
        <w:rPr>
          <w:rFonts w:ascii="Bookman Old Style" w:hAnsi="Bookman Old Style" w:cs="Helvetica"/>
          <w:sz w:val="24"/>
          <w:szCs w:val="24"/>
          <w:shd w:val="clear" w:color="auto" w:fill="FFFFFF"/>
          <w:lang w:val="bg-BG"/>
        </w:rPr>
      </w:pPr>
      <w:r w:rsidRPr="00F32161">
        <w:rPr>
          <w:rFonts w:ascii="Bookman Old Style" w:hAnsi="Bookman Old Style" w:cs="Helvetica"/>
          <w:sz w:val="24"/>
          <w:szCs w:val="24"/>
          <w:shd w:val="clear" w:color="auto" w:fill="FFFFFF"/>
          <w:lang w:val="bg-BG"/>
        </w:rPr>
        <w:t xml:space="preserve">С Решение № 79-ЕП/НС от 28.05.2024 г. на РИК в 23 ИР – София относно </w:t>
      </w:r>
      <w:r w:rsidRPr="00F32161">
        <w:rPr>
          <w:rFonts w:ascii="Bookman Old Style" w:hAnsi="Bookman Old Style"/>
          <w:sz w:val="24"/>
          <w:szCs w:val="24"/>
          <w:lang w:val="bg-BG"/>
        </w:rPr>
        <w:t xml:space="preserve">идентични агитационни материали, по отношение на които има произнасяне с Решение № 3371-НС от 27 май 2024 г. на ЦИК, е установила нарушение извършено от Николай Денков Денков, кандидат за народен представител на КП „Продължаваме Промяната – Демократична България“ в изборите за народни представители на 9 юни 2024 г., по чл. 183, ал. 4 ИК, във вр. с § 1 т.17 ИК е възложило на кмета на район Студентски и кмета на Столична община, незабавно да премахне съответните агитационни материали на територията на РИК 23. От мотивите на </w:t>
      </w:r>
      <w:r w:rsidRPr="00F32161">
        <w:rPr>
          <w:rFonts w:ascii="Bookman Old Style" w:hAnsi="Bookman Old Style" w:cs="Helvetica"/>
          <w:sz w:val="24"/>
          <w:szCs w:val="24"/>
          <w:shd w:val="clear" w:color="auto" w:fill="FFFFFF"/>
          <w:lang w:val="bg-BG"/>
        </w:rPr>
        <w:t>Решение № 79-ЕП/НС от 28.05.2024 г. на РИК в 23 ИР – София става ясно, че идентични агитационни материали са поставени в района на спирки на градския транспорт в РИК в 23 ИР – София.</w:t>
      </w:r>
    </w:p>
    <w:p w:rsidR="005F2CAD" w:rsidRPr="00F32161" w:rsidRDefault="005F2CAD" w:rsidP="00066FEC">
      <w:pPr>
        <w:spacing w:line="240" w:lineRule="auto"/>
        <w:ind w:firstLine="708"/>
        <w:rPr>
          <w:rFonts w:ascii="Bookman Old Style" w:hAnsi="Bookman Old Style"/>
          <w:sz w:val="24"/>
          <w:szCs w:val="24"/>
          <w:lang w:val="bg-BG"/>
        </w:rPr>
      </w:pPr>
      <w:r w:rsidRPr="00F32161">
        <w:rPr>
          <w:rFonts w:ascii="Bookman Old Style" w:hAnsi="Bookman Old Style" w:cs="Helvetica"/>
          <w:sz w:val="24"/>
          <w:szCs w:val="24"/>
          <w:shd w:val="clear" w:color="auto" w:fill="FFFFFF"/>
          <w:lang w:val="bg-BG"/>
        </w:rPr>
        <w:t xml:space="preserve">С Писмо № Вх. № 210 от 29.05.2024 г. ЦИК е уведомила РИК в 24 ИР – София за </w:t>
      </w:r>
      <w:r w:rsidRPr="00F32161">
        <w:rPr>
          <w:rFonts w:ascii="Bookman Old Style" w:hAnsi="Bookman Old Style"/>
          <w:sz w:val="24"/>
          <w:szCs w:val="24"/>
          <w:lang w:val="bg-BG"/>
        </w:rPr>
        <w:t xml:space="preserve">Решение № 3371-НС от 27 май 2024 г. на ЦИК, като е указала че при идентични агитационни материали РИК следва да предприеме действия по чл. 186 ИК за премахването на такива материали с идентично </w:t>
      </w:r>
      <w:r w:rsidRPr="00F32161">
        <w:rPr>
          <w:rFonts w:ascii="Bookman Old Style" w:hAnsi="Bookman Old Style"/>
          <w:sz w:val="24"/>
          <w:szCs w:val="24"/>
          <w:lang w:val="bg-BG"/>
        </w:rPr>
        <w:lastRenderedPageBreak/>
        <w:t>съдържание, поставени и разпространени в нарушение на чл. 183, ал. 4 ИК.</w:t>
      </w:r>
    </w:p>
    <w:p w:rsidR="00CC4AC3" w:rsidRPr="00F32161" w:rsidRDefault="005F2CAD" w:rsidP="00066FEC">
      <w:pPr>
        <w:pStyle w:val="ListParagraph"/>
        <w:numPr>
          <w:ilvl w:val="0"/>
          <w:numId w:val="1"/>
        </w:numPr>
        <w:ind w:left="0" w:firstLine="0"/>
        <w:jc w:val="both"/>
        <w:rPr>
          <w:rFonts w:ascii="Bookman Old Style" w:hAnsi="Bookman Old Style"/>
        </w:rPr>
      </w:pPr>
      <w:r w:rsidRPr="00F32161">
        <w:rPr>
          <w:rFonts w:ascii="Bookman Old Style" w:hAnsi="Bookman Old Style"/>
        </w:rPr>
        <w:t xml:space="preserve">Съгласно чл. 57, ал. 1, т. 45 ИК Централната избирателна комисия взема решение за премахване или изземване на агитационни материали, поставени или разпространени в нарушение на кодекса на територията на повече от един изборен район или които се отнасят за повече от един изборен район. Според чл. 186, ал. 2 ИК </w:t>
      </w:r>
      <w:r w:rsidRPr="00F32161">
        <w:rPr>
          <w:rFonts w:ascii="Bookman Old Style" w:hAnsi="Bookman Old Style" w:cs="Tahoma"/>
          <w:shd w:val="clear" w:color="auto" w:fill="FFFFFF"/>
        </w:rPr>
        <w:t>агитационните материали, поставени или разпространени в нарушение на кодекса на територията на повече от един изборен район или които се отнасят за повече от един изборен район, се премахват или изземват от областния управител по решение на Централната избирателна комисия.</w:t>
      </w:r>
      <w:r w:rsidRPr="00F32161">
        <w:rPr>
          <w:rFonts w:ascii="Bookman Old Style" w:hAnsi="Bookman Old Style"/>
        </w:rPr>
        <w:t xml:space="preserve"> Жалбата касае идентични агитационни материали, които са поставени на територията на РИК в 23 ИР - София, на територията на РИК в 24 ИР – София, и на територията на РИК в 16 ИР – Пловдив. Това се установява от Решение № 3371-НС от 27 май 2024 г. на ЦИК, </w:t>
      </w:r>
      <w:r w:rsidRPr="00F32161">
        <w:rPr>
          <w:rFonts w:ascii="Bookman Old Style" w:hAnsi="Bookman Old Style" w:cs="Helvetica"/>
          <w:shd w:val="clear" w:color="auto" w:fill="FFFFFF"/>
        </w:rPr>
        <w:t xml:space="preserve">Решение № 79-ЕП/НС от 28.05.2024 г. на РИК в 23 ИР – София и Писмо № Вх. № 210 от 29.05.2024 г. на ЦИК. Предвид нормите на </w:t>
      </w:r>
      <w:r w:rsidRPr="00F32161">
        <w:rPr>
          <w:rFonts w:ascii="Bookman Old Style" w:hAnsi="Bookman Old Style"/>
        </w:rPr>
        <w:t xml:space="preserve">чл. 57, ал. 1, т. 45 ИК и чл. 186, ал. 2 ИК, които са императивни, въпреки указанията в </w:t>
      </w:r>
      <w:r w:rsidRPr="00F32161">
        <w:rPr>
          <w:rFonts w:ascii="Bookman Old Style" w:hAnsi="Bookman Old Style" w:cs="Helvetica"/>
          <w:shd w:val="clear" w:color="auto" w:fill="FFFFFF"/>
        </w:rPr>
        <w:t>Писмо № Вх. № 210 от 29.05.2024 г. на ЦИК, РИК в 24 ИР – София счита, че не е компетентна да се произнесе по жалбата, а компетентна е ЦИК, която единствена има правомощието да постанови премахване на поставените в нарушение на ИК агитационни материали в повече от един избирателен район. В тази насока е в практиката на ВАС е възприето, че именно ЦИК е компетентна при наличие на агитационни материали в нарушение на ИК, постановени или разпространени в повече от един изборен район</w:t>
      </w:r>
      <w:r w:rsidRPr="00F32161">
        <w:rPr>
          <w:rStyle w:val="FootnoteReference"/>
          <w:rFonts w:ascii="Bookman Old Style" w:hAnsi="Bookman Old Style" w:cs="Helvetica"/>
          <w:shd w:val="clear" w:color="auto" w:fill="FFFFFF"/>
        </w:rPr>
        <w:footnoteReference w:id="1"/>
      </w:r>
      <w:r w:rsidRPr="00F32161">
        <w:rPr>
          <w:rFonts w:ascii="Bookman Old Style" w:hAnsi="Bookman Old Style" w:cs="Helvetica"/>
          <w:shd w:val="clear" w:color="auto" w:fill="FFFFFF"/>
        </w:rPr>
        <w:t>. Относно твърдяното в жалбата нарушение акт за установяване на административни нарушения е компетентен да състави председателя на ЦИК, съгласно чл. 496, ал. 2, т. 1 ИК, тъй като твърдяното нарушение е по чл. 480, ал. 2 ИК. Компетентен да издаде наказателно постановление относно твърдяното нарушение е органът, предвиден в чл. 496, ал.</w:t>
      </w:r>
      <w:r w:rsidR="00066FEC">
        <w:rPr>
          <w:rFonts w:ascii="Bookman Old Style" w:hAnsi="Bookman Old Style" w:cs="Helvetica"/>
          <w:shd w:val="clear" w:color="auto" w:fill="FFFFFF"/>
        </w:rPr>
        <w:t xml:space="preserve"> </w:t>
      </w:r>
      <w:r w:rsidRPr="00F32161">
        <w:rPr>
          <w:rFonts w:ascii="Bookman Old Style" w:hAnsi="Bookman Old Style" w:cs="Helvetica"/>
          <w:shd w:val="clear" w:color="auto" w:fill="FFFFFF"/>
        </w:rPr>
        <w:t>3 ИК - председателят на ЦИК, защото нарушението, което се твърди, че е извършено, е по чл. 480, ал.</w:t>
      </w:r>
      <w:r w:rsidR="00066FEC">
        <w:rPr>
          <w:rFonts w:ascii="Bookman Old Style" w:hAnsi="Bookman Old Style" w:cs="Helvetica"/>
          <w:shd w:val="clear" w:color="auto" w:fill="FFFFFF"/>
        </w:rPr>
        <w:t xml:space="preserve"> </w:t>
      </w:r>
      <w:r w:rsidRPr="00F32161">
        <w:rPr>
          <w:rFonts w:ascii="Bookman Old Style" w:hAnsi="Bookman Old Style" w:cs="Helvetica"/>
          <w:shd w:val="clear" w:color="auto" w:fill="FFFFFF"/>
        </w:rPr>
        <w:t>2 вр. с чл.</w:t>
      </w:r>
      <w:r w:rsidR="00066FEC">
        <w:rPr>
          <w:rFonts w:ascii="Bookman Old Style" w:hAnsi="Bookman Old Style" w:cs="Helvetica"/>
          <w:shd w:val="clear" w:color="auto" w:fill="FFFFFF"/>
        </w:rPr>
        <w:t xml:space="preserve"> </w:t>
      </w:r>
      <w:r w:rsidRPr="00F32161">
        <w:rPr>
          <w:rFonts w:ascii="Bookman Old Style" w:hAnsi="Bookman Old Style" w:cs="Helvetica"/>
          <w:shd w:val="clear" w:color="auto" w:fill="FFFFFF"/>
        </w:rPr>
        <w:t>183, ал.</w:t>
      </w:r>
      <w:r w:rsidR="00066FEC">
        <w:rPr>
          <w:rFonts w:ascii="Bookman Old Style" w:hAnsi="Bookman Old Style" w:cs="Helvetica"/>
          <w:shd w:val="clear" w:color="auto" w:fill="FFFFFF"/>
        </w:rPr>
        <w:t xml:space="preserve"> </w:t>
      </w:r>
      <w:r w:rsidRPr="00F32161">
        <w:rPr>
          <w:rFonts w:ascii="Bookman Old Style" w:hAnsi="Bookman Old Style" w:cs="Helvetica"/>
          <w:shd w:val="clear" w:color="auto" w:fill="FFFFFF"/>
        </w:rPr>
        <w:t>4 ИК. Следователно РИК в 24 ИР – София не компетентна да състави АУАН и НП относно твърдените нарушения. Поради това считаме, че правилното решение в случая е жалбата да се препрати към компетентния орган – ЦИК, вместо да се приема решение при липса на компетентност от РИК в 24 ИР – София.</w:t>
      </w:r>
    </w:p>
    <w:p w:rsidR="00957D05" w:rsidRPr="00F32161" w:rsidRDefault="00EC4AE8" w:rsidP="00066FEC">
      <w:pPr>
        <w:pStyle w:val="ListParagraph"/>
        <w:numPr>
          <w:ilvl w:val="0"/>
          <w:numId w:val="1"/>
        </w:numPr>
        <w:ind w:left="0" w:firstLine="0"/>
        <w:jc w:val="both"/>
        <w:rPr>
          <w:rFonts w:ascii="Bookman Old Style" w:hAnsi="Bookman Old Style"/>
        </w:rPr>
      </w:pPr>
      <w:r w:rsidRPr="00F32161">
        <w:rPr>
          <w:rFonts w:ascii="Bookman Old Style" w:hAnsi="Bookman Old Style"/>
        </w:rPr>
        <w:lastRenderedPageBreak/>
        <w:t>По същество, жалбата е неоснователна поради следните съображения:</w:t>
      </w:r>
    </w:p>
    <w:p w:rsidR="00EC4AE8" w:rsidRPr="00F32161" w:rsidRDefault="00EC4AE8" w:rsidP="00066FEC">
      <w:pPr>
        <w:pStyle w:val="ListParagraph"/>
        <w:numPr>
          <w:ilvl w:val="1"/>
          <w:numId w:val="1"/>
        </w:numPr>
        <w:ind w:left="0" w:firstLine="0"/>
        <w:jc w:val="both"/>
        <w:rPr>
          <w:rFonts w:ascii="Bookman Old Style" w:hAnsi="Bookman Old Style"/>
        </w:rPr>
      </w:pPr>
      <w:r w:rsidRPr="00F32161">
        <w:rPr>
          <w:rFonts w:ascii="Bookman Old Style" w:hAnsi="Bookman Old Style"/>
        </w:rPr>
        <w:t>Съгласно чл. 183, ал. 4 ИК забранява се използването на агитационни материали, които застрашават живота и здравето на гражданите, частната, общинската и държавната собственост и безопасността на движението, както и на материали, които накърняват добрите нрави, честта и доброто име на кандидатите.</w:t>
      </w:r>
      <w:r w:rsidR="00371B40" w:rsidRPr="00F32161">
        <w:rPr>
          <w:rFonts w:ascii="Bookman Old Style" w:hAnsi="Bookman Old Style"/>
        </w:rPr>
        <w:t xml:space="preserve"> </w:t>
      </w:r>
    </w:p>
    <w:p w:rsidR="00EC4AE8" w:rsidRPr="00F32161" w:rsidRDefault="003B2682" w:rsidP="00066FEC">
      <w:pPr>
        <w:spacing w:line="240" w:lineRule="auto"/>
        <w:ind w:firstLine="708"/>
        <w:rPr>
          <w:rFonts w:ascii="Bookman Old Style" w:hAnsi="Bookman Old Style"/>
          <w:lang w:val="bg-BG"/>
        </w:rPr>
      </w:pPr>
      <w:r w:rsidRPr="00F32161">
        <w:rPr>
          <w:rFonts w:ascii="Bookman Old Style" w:hAnsi="Bookman Old Style"/>
          <w:lang w:val="bg-BG"/>
        </w:rPr>
        <w:t xml:space="preserve">В действителност от разглеждания агитационен материал би могло да се приеме, че е налице предизборна агитация с призив за подкрепа </w:t>
      </w:r>
      <w:r w:rsidR="00066FEC">
        <w:rPr>
          <w:rFonts w:ascii="Bookman Old Style" w:hAnsi="Bookman Old Style"/>
          <w:lang w:val="bg-BG"/>
        </w:rPr>
        <w:t>за определена политическа сила</w:t>
      </w:r>
      <w:r w:rsidRPr="00F32161">
        <w:rPr>
          <w:rFonts w:ascii="Bookman Old Style" w:hAnsi="Bookman Old Style"/>
          <w:lang w:val="bg-BG"/>
        </w:rPr>
        <w:t xml:space="preserve">, както и призив на неподкрепа на </w:t>
      </w:r>
      <w:r w:rsidR="00F67CB0">
        <w:rPr>
          <w:rFonts w:ascii="Bookman Old Style" w:hAnsi="Bookman Old Style"/>
          <w:lang w:val="bg-BG"/>
        </w:rPr>
        <w:t>друга политическа сила</w:t>
      </w:r>
      <w:r w:rsidRPr="00F32161">
        <w:rPr>
          <w:rFonts w:ascii="Bookman Old Style" w:hAnsi="Bookman Old Style"/>
          <w:lang w:val="bg-BG"/>
        </w:rPr>
        <w:t xml:space="preserve">, </w:t>
      </w:r>
      <w:r w:rsidR="00F67CB0">
        <w:rPr>
          <w:rFonts w:ascii="Bookman Old Style" w:hAnsi="Bookman Old Style"/>
          <w:lang w:val="bg-BG"/>
        </w:rPr>
        <w:t xml:space="preserve">кандидати на </w:t>
      </w:r>
      <w:r w:rsidRPr="00F32161">
        <w:rPr>
          <w:rFonts w:ascii="Bookman Old Style" w:hAnsi="Bookman Old Style"/>
          <w:lang w:val="bg-BG"/>
        </w:rPr>
        <w:t xml:space="preserve">които са изобразени на агитационен материал. Считаме, че с това не е нарушен чл. 183, ал. 4 ИК. </w:t>
      </w:r>
      <w:r w:rsidR="00371B40" w:rsidRPr="00F32161">
        <w:rPr>
          <w:rFonts w:ascii="Bookman Old Style" w:hAnsi="Bookman Old Style"/>
          <w:lang w:val="bg-BG"/>
        </w:rPr>
        <w:t xml:space="preserve">Добрите нрави могат да се дефинират като неписани правила за поведение, установени от обществото, кореспондиращи с минималния необходим морал и променящи се във времето. </w:t>
      </w:r>
      <w:r w:rsidR="0083683B" w:rsidRPr="00F32161">
        <w:rPr>
          <w:rFonts w:ascii="Bookman Old Style" w:hAnsi="Bookman Old Style"/>
          <w:lang w:val="bg-BG"/>
        </w:rPr>
        <w:t>Нарушаването на добрите нрави е морална категория, която не е дефинирана в Изборния кодекс, поради това оценката за нарушаване на законовата забрана следва да се направи в контекста на цялостното агитационно послание, както и с оглед на внушението, съдържащо се в конкретната морална оценка на опонента</w:t>
      </w:r>
      <w:r w:rsidR="0083683B" w:rsidRPr="00F32161">
        <w:rPr>
          <w:rStyle w:val="FootnoteReference"/>
          <w:rFonts w:ascii="Bookman Old Style" w:hAnsi="Bookman Old Style"/>
          <w:lang w:val="bg-BG"/>
        </w:rPr>
        <w:footnoteReference w:id="2"/>
      </w:r>
      <w:r w:rsidR="0083683B" w:rsidRPr="00F32161">
        <w:rPr>
          <w:rFonts w:ascii="Bookman Old Style" w:hAnsi="Bookman Old Style"/>
          <w:lang w:val="bg-BG"/>
        </w:rPr>
        <w:t xml:space="preserve">. </w:t>
      </w:r>
      <w:r w:rsidR="00EC4AE8" w:rsidRPr="00F32161">
        <w:rPr>
          <w:rFonts w:ascii="Bookman Old Style" w:hAnsi="Bookman Old Style"/>
          <w:lang w:val="bg-BG"/>
        </w:rPr>
        <w:t>Пре</w:t>
      </w:r>
      <w:r w:rsidR="00154D29" w:rsidRPr="00F32161">
        <w:rPr>
          <w:rFonts w:ascii="Bookman Old Style" w:hAnsi="Bookman Old Style"/>
          <w:lang w:val="bg-BG"/>
        </w:rPr>
        <w:t>дставеният агитационен материал</w:t>
      </w:r>
      <w:r w:rsidR="00EC4AE8" w:rsidRPr="00F32161">
        <w:rPr>
          <w:rFonts w:ascii="Bookman Old Style" w:hAnsi="Bookman Old Style"/>
          <w:lang w:val="bg-BG"/>
        </w:rPr>
        <w:t xml:space="preserve"> по никакъв начин не накърнява </w:t>
      </w:r>
      <w:r w:rsidR="00F67CB0">
        <w:rPr>
          <w:rFonts w:ascii="Bookman Old Style" w:hAnsi="Bookman Old Style"/>
          <w:lang w:val="bg-BG"/>
        </w:rPr>
        <w:t>добрите нрави</w:t>
      </w:r>
      <w:r w:rsidR="00EC4AE8" w:rsidRPr="00F32161">
        <w:rPr>
          <w:rFonts w:ascii="Bookman Old Style" w:hAnsi="Bookman Old Style"/>
          <w:lang w:val="bg-BG"/>
        </w:rPr>
        <w:t>. Нито г-н Борисов, нито г-н Пеевски</w:t>
      </w:r>
      <w:r w:rsidR="00371B40" w:rsidRPr="00F32161">
        <w:rPr>
          <w:rFonts w:ascii="Bookman Old Style" w:hAnsi="Bookman Old Style"/>
          <w:lang w:val="bg-BG"/>
        </w:rPr>
        <w:t>,</w:t>
      </w:r>
      <w:r w:rsidR="00EC4AE8" w:rsidRPr="00F32161">
        <w:rPr>
          <w:rFonts w:ascii="Bookman Old Style" w:hAnsi="Bookman Old Style"/>
          <w:lang w:val="bg-BG"/>
        </w:rPr>
        <w:t xml:space="preserve"> са представени по някакъв принизяващ достойнството им начин. Снимките им не са обработени или окарикатурени. Надписът на материала не представя нещо принизяващо достойнството им – то</w:t>
      </w:r>
      <w:r w:rsidR="00F67CB0">
        <w:rPr>
          <w:rFonts w:ascii="Bookman Old Style" w:hAnsi="Bookman Old Style"/>
          <w:lang w:val="bg-BG"/>
        </w:rPr>
        <w:t>й поставя въпрос към избирателя какъв иска да е неговият</w:t>
      </w:r>
      <w:r w:rsidR="00EC4AE8" w:rsidRPr="00F32161">
        <w:rPr>
          <w:rFonts w:ascii="Bookman Old Style" w:hAnsi="Bookman Old Style"/>
          <w:lang w:val="bg-BG"/>
        </w:rPr>
        <w:t xml:space="preserve"> премиер.</w:t>
      </w:r>
    </w:p>
    <w:p w:rsidR="00EC4AE8" w:rsidRPr="00F32161" w:rsidRDefault="00154D29" w:rsidP="00066FEC">
      <w:pPr>
        <w:spacing w:line="240" w:lineRule="auto"/>
        <w:ind w:firstLine="708"/>
        <w:rPr>
          <w:rFonts w:ascii="Bookman Old Style" w:hAnsi="Bookman Old Style"/>
          <w:sz w:val="24"/>
          <w:szCs w:val="24"/>
          <w:lang w:val="bg-BG"/>
        </w:rPr>
      </w:pPr>
      <w:r w:rsidRPr="00F32161">
        <w:rPr>
          <w:rFonts w:ascii="Bookman Old Style" w:hAnsi="Bookman Old Style"/>
          <w:sz w:val="24"/>
          <w:szCs w:val="24"/>
          <w:lang w:val="bg-BG"/>
        </w:rPr>
        <w:t>Неправилен е изводът</w:t>
      </w:r>
      <w:r w:rsidR="00EC4AE8" w:rsidRPr="00F32161">
        <w:rPr>
          <w:rFonts w:ascii="Bookman Old Style" w:hAnsi="Bookman Old Style"/>
          <w:sz w:val="24"/>
          <w:szCs w:val="24"/>
          <w:lang w:val="bg-BG"/>
        </w:rPr>
        <w:t>, че самото използване на снимки без разрешение накър</w:t>
      </w:r>
      <w:r w:rsidRPr="00F32161">
        <w:rPr>
          <w:rFonts w:ascii="Bookman Old Style" w:hAnsi="Bookman Old Style"/>
          <w:sz w:val="24"/>
          <w:szCs w:val="24"/>
          <w:lang w:val="bg-BG"/>
        </w:rPr>
        <w:t xml:space="preserve">нява добрите нрави. Това </w:t>
      </w:r>
      <w:r w:rsidR="00EC4AE8" w:rsidRPr="00F32161">
        <w:rPr>
          <w:rFonts w:ascii="Bookman Old Style" w:hAnsi="Bookman Old Style"/>
          <w:sz w:val="24"/>
          <w:szCs w:val="24"/>
          <w:lang w:val="bg-BG"/>
        </w:rPr>
        <w:t>няма как да е валидно за политически лид</w:t>
      </w:r>
      <w:r w:rsidR="00F67CB0">
        <w:rPr>
          <w:rFonts w:ascii="Bookman Old Style" w:hAnsi="Bookman Old Style"/>
          <w:sz w:val="24"/>
          <w:szCs w:val="24"/>
          <w:lang w:val="bg-BG"/>
        </w:rPr>
        <w:t>ери на две от най-големите</w:t>
      </w:r>
      <w:r w:rsidR="00EC4AE8" w:rsidRPr="00F32161">
        <w:rPr>
          <w:rFonts w:ascii="Bookman Old Style" w:hAnsi="Bookman Old Style"/>
          <w:sz w:val="24"/>
          <w:szCs w:val="24"/>
          <w:lang w:val="bg-BG"/>
        </w:rPr>
        <w:t xml:space="preserve"> политически партии в Република България. Извес</w:t>
      </w:r>
      <w:r w:rsidR="00F67CB0">
        <w:rPr>
          <w:rFonts w:ascii="Bookman Old Style" w:hAnsi="Bookman Old Style"/>
          <w:sz w:val="24"/>
          <w:szCs w:val="24"/>
          <w:lang w:val="bg-BG"/>
        </w:rPr>
        <w:t>тен факт от практиката на ЕСЗ</w:t>
      </w:r>
      <w:r w:rsidR="00371B40" w:rsidRPr="00F32161">
        <w:rPr>
          <w:rFonts w:ascii="Bookman Old Style" w:hAnsi="Bookman Old Style"/>
          <w:sz w:val="24"/>
          <w:szCs w:val="24"/>
          <w:lang w:val="bg-BG"/>
        </w:rPr>
        <w:t>ПЧ</w:t>
      </w:r>
      <w:r w:rsidR="00EC4AE8" w:rsidRPr="00F32161">
        <w:rPr>
          <w:rFonts w:ascii="Bookman Old Style" w:hAnsi="Bookman Old Style"/>
          <w:sz w:val="24"/>
          <w:szCs w:val="24"/>
          <w:lang w:val="bg-BG"/>
        </w:rPr>
        <w:t xml:space="preserve"> е че спрямо политическите лица има по-нисък праг на защита на личния и семейния живот. За ползването на техните образи в политическа агитация не е необходимо тяхното разрешение. Със самото си съгласие да участват активно в политическия живот на страната, те са дали своето съгласие за използване и на името и на лицата им </w:t>
      </w:r>
      <w:r w:rsidR="00F67CB0">
        <w:rPr>
          <w:rFonts w:ascii="Bookman Old Style" w:hAnsi="Bookman Old Style"/>
          <w:sz w:val="24"/>
          <w:szCs w:val="24"/>
          <w:lang w:val="bg-BG"/>
        </w:rPr>
        <w:t>в публичния живот.</w:t>
      </w:r>
    </w:p>
    <w:p w:rsidR="00C87481" w:rsidRPr="00F32161" w:rsidRDefault="00C87481" w:rsidP="00066FEC">
      <w:pPr>
        <w:pStyle w:val="ListParagraph"/>
        <w:numPr>
          <w:ilvl w:val="1"/>
          <w:numId w:val="1"/>
        </w:numPr>
        <w:ind w:left="0" w:firstLine="0"/>
        <w:jc w:val="both"/>
        <w:rPr>
          <w:rFonts w:ascii="Bookman Old Style" w:hAnsi="Bookman Old Style"/>
        </w:rPr>
      </w:pPr>
      <w:r w:rsidRPr="00F32161">
        <w:rPr>
          <w:rFonts w:ascii="Bookman Old Style" w:hAnsi="Bookman Old Style"/>
        </w:rPr>
        <w:t xml:space="preserve">В мотивите към Решението РИК в 24 ИР - София посочва, че </w:t>
      </w:r>
      <w:r w:rsidRPr="00F32161">
        <w:rPr>
          <w:rFonts w:ascii="Bookman Old Style" w:hAnsi="Bookman Old Style"/>
          <w:i/>
        </w:rPr>
        <w:t>„използването на лицата на други кандидати, предложени от други партии или коалиции за същия вид избор  в един и същ агитационен материал, представлява призив за гласуване в подкрепа на партията или коалицията от чието име се разпространява агитационния материал, съответно за неподкрепа за другите кандидати“</w:t>
      </w:r>
      <w:r w:rsidRPr="00F32161">
        <w:rPr>
          <w:rFonts w:ascii="Bookman Old Style" w:hAnsi="Bookman Old Style"/>
        </w:rPr>
        <w:t>. Това, според болшинството от комисията, означавало че е налице призив за неподкрепа на кандидат по смисъла на § 1 т. 17 ИК.</w:t>
      </w:r>
    </w:p>
    <w:p w:rsidR="00C87481" w:rsidRPr="00F32161" w:rsidRDefault="00C87481" w:rsidP="00066FEC">
      <w:pPr>
        <w:spacing w:line="240" w:lineRule="auto"/>
        <w:ind w:firstLine="708"/>
        <w:rPr>
          <w:rFonts w:ascii="Bookman Old Style" w:hAnsi="Bookman Old Style"/>
          <w:sz w:val="24"/>
          <w:szCs w:val="24"/>
          <w:lang w:val="bg-BG"/>
        </w:rPr>
      </w:pPr>
      <w:r w:rsidRPr="00F32161">
        <w:rPr>
          <w:rFonts w:ascii="Bookman Old Style" w:hAnsi="Bookman Old Style"/>
          <w:sz w:val="24"/>
          <w:szCs w:val="24"/>
          <w:lang w:val="bg-BG"/>
        </w:rPr>
        <w:t xml:space="preserve">Изглежда </w:t>
      </w:r>
      <w:r w:rsidR="00F67CB0">
        <w:rPr>
          <w:rFonts w:ascii="Bookman Old Style" w:hAnsi="Bookman Old Style"/>
          <w:sz w:val="24"/>
          <w:szCs w:val="24"/>
          <w:lang w:val="bg-BG"/>
        </w:rPr>
        <w:t>мнозинството</w:t>
      </w:r>
      <w:r w:rsidRPr="00F32161">
        <w:rPr>
          <w:rFonts w:ascii="Bookman Old Style" w:hAnsi="Bookman Old Style"/>
          <w:sz w:val="24"/>
          <w:szCs w:val="24"/>
          <w:lang w:val="bg-BG"/>
        </w:rPr>
        <w:t xml:space="preserve"> </w:t>
      </w:r>
      <w:r w:rsidR="00F67CB0">
        <w:rPr>
          <w:rFonts w:ascii="Bookman Old Style" w:hAnsi="Bookman Old Style"/>
          <w:sz w:val="24"/>
          <w:szCs w:val="24"/>
          <w:lang w:val="bg-BG"/>
        </w:rPr>
        <w:t>погрешно е преценило, че призивът</w:t>
      </w:r>
      <w:r w:rsidRPr="00F32161">
        <w:rPr>
          <w:rFonts w:ascii="Bookman Old Style" w:hAnsi="Bookman Old Style"/>
          <w:sz w:val="24"/>
          <w:szCs w:val="24"/>
          <w:lang w:val="bg-BG"/>
        </w:rPr>
        <w:t xml:space="preserve"> за неподкрепа е по някакъв начин незаконосъобразен и следва да бъде санкциониран. Подобна интерпретация обаче противоречи на ясния текст на § 1 т. 17 ИК, където в дефиницията на понятието „предизбор</w:t>
      </w:r>
      <w:r w:rsidR="00F67CB0">
        <w:rPr>
          <w:rFonts w:ascii="Bookman Old Style" w:hAnsi="Bookman Old Style"/>
          <w:sz w:val="24"/>
          <w:szCs w:val="24"/>
          <w:lang w:val="bg-BG"/>
        </w:rPr>
        <w:t>на агитация“ е включен и призивът</w:t>
      </w:r>
      <w:r w:rsidRPr="00F32161">
        <w:rPr>
          <w:rFonts w:ascii="Bookman Old Style" w:hAnsi="Bookman Old Style"/>
          <w:sz w:val="24"/>
          <w:szCs w:val="24"/>
          <w:lang w:val="bg-BG"/>
        </w:rPr>
        <w:t xml:space="preserve"> за неподкрепа. Следователно, съвсем законно партия може да агитира срещу избора на определен кандидат или кандидати на други политически партии.</w:t>
      </w:r>
    </w:p>
    <w:p w:rsidR="00C811CD" w:rsidRPr="00A03735" w:rsidRDefault="00972C1B" w:rsidP="00066FEC">
      <w:pPr>
        <w:pStyle w:val="ListParagraph"/>
        <w:numPr>
          <w:ilvl w:val="1"/>
          <w:numId w:val="1"/>
        </w:numPr>
        <w:ind w:left="0" w:firstLine="0"/>
        <w:jc w:val="both"/>
        <w:rPr>
          <w:rFonts w:ascii="Bookman Old Style" w:hAnsi="Bookman Old Style"/>
        </w:rPr>
      </w:pPr>
      <w:r w:rsidRPr="00F32161">
        <w:rPr>
          <w:rFonts w:ascii="Bookman Old Style" w:hAnsi="Bookman Old Style"/>
        </w:rPr>
        <w:lastRenderedPageBreak/>
        <w:t>Въпреки решението на ЦИК нашето лично мнение е, че</w:t>
      </w:r>
      <w:r w:rsidR="00C87481" w:rsidRPr="00F32161">
        <w:rPr>
          <w:rFonts w:ascii="Bookman Old Style" w:hAnsi="Bookman Old Style"/>
        </w:rPr>
        <w:t xml:space="preserve"> Николай Денков Денков</w:t>
      </w:r>
      <w:r w:rsidRPr="00F32161">
        <w:rPr>
          <w:rFonts w:ascii="Bookman Old Style" w:hAnsi="Bookman Old Style"/>
        </w:rPr>
        <w:t xml:space="preserve"> не е извършил нарушение</w:t>
      </w:r>
      <w:r w:rsidR="00C87481" w:rsidRPr="00F32161">
        <w:rPr>
          <w:rFonts w:ascii="Bookman Old Style" w:hAnsi="Bookman Old Style"/>
        </w:rPr>
        <w:t xml:space="preserve"> по чл. 183, ал. 4 ИК, във вр. с § 1 т.17 ИК. </w:t>
      </w:r>
      <w:r w:rsidRPr="00F32161">
        <w:rPr>
          <w:rFonts w:ascii="Bookman Old Style" w:hAnsi="Bookman Old Style"/>
        </w:rPr>
        <w:t>Б</w:t>
      </w:r>
      <w:r w:rsidR="00C87481" w:rsidRPr="00F32161">
        <w:rPr>
          <w:rFonts w:ascii="Bookman Old Style" w:hAnsi="Bookman Old Style"/>
        </w:rPr>
        <w:t>уди не</w:t>
      </w:r>
      <w:r w:rsidR="00154D29" w:rsidRPr="00F32161">
        <w:rPr>
          <w:rFonts w:ascii="Bookman Old Style" w:hAnsi="Bookman Old Style"/>
        </w:rPr>
        <w:t xml:space="preserve">яснота какво е значението </w:t>
      </w:r>
      <w:r w:rsidR="00C87481" w:rsidRPr="00F32161">
        <w:rPr>
          <w:rFonts w:ascii="Bookman Old Style" w:hAnsi="Bookman Old Style"/>
        </w:rPr>
        <w:t>на установителния диспозитив</w:t>
      </w:r>
      <w:r w:rsidRPr="00F32161">
        <w:rPr>
          <w:rFonts w:ascii="Bookman Old Style" w:hAnsi="Bookman Old Style"/>
        </w:rPr>
        <w:t xml:space="preserve"> в решението на ЦИК</w:t>
      </w:r>
      <w:r w:rsidR="00C87481" w:rsidRPr="00F32161">
        <w:rPr>
          <w:rFonts w:ascii="Bookman Old Style" w:hAnsi="Bookman Old Style"/>
        </w:rPr>
        <w:t xml:space="preserve">, който обаче не представлява АУАН </w:t>
      </w:r>
      <w:r w:rsidR="00154D29" w:rsidRPr="00F32161">
        <w:rPr>
          <w:rFonts w:ascii="Bookman Old Style" w:hAnsi="Bookman Old Style"/>
        </w:rPr>
        <w:t xml:space="preserve">или НП </w:t>
      </w:r>
      <w:r w:rsidR="00C87481" w:rsidRPr="00F32161">
        <w:rPr>
          <w:rFonts w:ascii="Bookman Old Style" w:hAnsi="Bookman Old Style"/>
        </w:rPr>
        <w:t xml:space="preserve">и няма никаква легална опора, </w:t>
      </w:r>
      <w:r w:rsidR="00D362E0">
        <w:rPr>
          <w:rFonts w:ascii="Bookman Old Style" w:hAnsi="Bookman Old Style"/>
        </w:rPr>
        <w:t xml:space="preserve">и то предвид факта, че </w:t>
      </w:r>
      <w:r w:rsidR="00C87481" w:rsidRPr="00F32161">
        <w:rPr>
          <w:rFonts w:ascii="Bookman Old Style" w:hAnsi="Bookman Old Style"/>
        </w:rPr>
        <w:t>нарушението е абсолютно недоказано. Нито ИК, нито ЗАНН, нито който и да е друг нормативен акт</w:t>
      </w:r>
      <w:r w:rsidR="00D362E0">
        <w:rPr>
          <w:rFonts w:ascii="Bookman Old Style" w:hAnsi="Bookman Old Style"/>
        </w:rPr>
        <w:t>,</w:t>
      </w:r>
      <w:r w:rsidR="00C87481" w:rsidRPr="00F32161">
        <w:rPr>
          <w:rFonts w:ascii="Bookman Old Style" w:hAnsi="Bookman Old Style"/>
        </w:rPr>
        <w:t xml:space="preserve"> предвижда, че самият факт, че щом изображението на кандидата Николай Денков е на определен агитационен материал, това по някакъв начин може да доведе до установяване на нарушение за физическото лице Николай Денков. </w:t>
      </w:r>
      <w:r w:rsidR="00D362E0">
        <w:rPr>
          <w:rFonts w:ascii="Bookman Old Style" w:hAnsi="Bookman Old Style"/>
        </w:rPr>
        <w:t xml:space="preserve">Николай Денков дори не е кандидат за народен представител в РИК в 24 ИР – София, не е и кандидат за изборите за ЕП, </w:t>
      </w:r>
      <w:r w:rsidR="0051798C">
        <w:rPr>
          <w:rFonts w:ascii="Bookman Old Style" w:hAnsi="Bookman Old Style"/>
        </w:rPr>
        <w:t>следователно</w:t>
      </w:r>
      <w:r w:rsidR="00D362E0">
        <w:rPr>
          <w:rFonts w:ascii="Bookman Old Style" w:hAnsi="Bookman Old Style"/>
        </w:rPr>
        <w:t xml:space="preserve"> няма как да се гласува преференциално за него. </w:t>
      </w:r>
      <w:r w:rsidR="00272E69" w:rsidRPr="00F32161">
        <w:rPr>
          <w:rFonts w:ascii="Bookman Old Style" w:hAnsi="Bookman Old Style"/>
        </w:rPr>
        <w:t>Няма абсолютно никакви данни или дори твърдения, че именно Николай Денков е лицето извършило предизборна агитация в нарушение на чл. 183 ал. 3 ИК.</w:t>
      </w:r>
      <w:r w:rsidR="00C811CD" w:rsidRPr="00F32161">
        <w:rPr>
          <w:rFonts w:ascii="Bookman Old Style" w:hAnsi="Bookman Old Style"/>
        </w:rPr>
        <w:t xml:space="preserve"> Това че снимката му стои на </w:t>
      </w:r>
      <w:r w:rsidR="00524BB2" w:rsidRPr="00F32161">
        <w:rPr>
          <w:rFonts w:ascii="Bookman Old Style" w:hAnsi="Bookman Old Style"/>
        </w:rPr>
        <w:t>определени агитационни материали</w:t>
      </w:r>
      <w:r w:rsidR="00C811CD" w:rsidRPr="00F32161">
        <w:rPr>
          <w:rFonts w:ascii="Bookman Old Style" w:hAnsi="Bookman Old Style"/>
        </w:rPr>
        <w:t xml:space="preserve"> може да е само</w:t>
      </w:r>
      <w:r w:rsidR="00524BB2" w:rsidRPr="00F32161">
        <w:rPr>
          <w:rFonts w:ascii="Bookman Old Style" w:hAnsi="Bookman Old Style"/>
        </w:rPr>
        <w:t xml:space="preserve"> някаква първоначална индикация откъде ЦИК</w:t>
      </w:r>
      <w:r w:rsidR="00C811CD" w:rsidRPr="00F32161">
        <w:rPr>
          <w:rFonts w:ascii="Bookman Old Style" w:hAnsi="Bookman Old Style"/>
        </w:rPr>
        <w:t xml:space="preserve"> да започне своето проучване на фактите, но не е до</w:t>
      </w:r>
      <w:r w:rsidR="00524BB2" w:rsidRPr="00F32161">
        <w:rPr>
          <w:rFonts w:ascii="Bookman Old Style" w:hAnsi="Bookman Old Style"/>
        </w:rPr>
        <w:t>статъчно, за да стигне до категоричния извод</w:t>
      </w:r>
      <w:r w:rsidR="00C811CD" w:rsidRPr="00F32161">
        <w:rPr>
          <w:rFonts w:ascii="Bookman Old Style" w:hAnsi="Bookman Old Style"/>
        </w:rPr>
        <w:t>, че именно г-н Денков е извършителят на нарушението.</w:t>
      </w:r>
      <w:r w:rsidR="00274140" w:rsidRPr="00F32161">
        <w:rPr>
          <w:rFonts w:ascii="Bookman Old Style" w:hAnsi="Bookman Old Style"/>
        </w:rPr>
        <w:t xml:space="preserve"> За да бъде установено нарушение от страна на г-н Денков следва да се установи, че </w:t>
      </w:r>
      <w:r w:rsidR="0051798C">
        <w:rPr>
          <w:rFonts w:ascii="Bookman Old Style" w:hAnsi="Bookman Old Style"/>
        </w:rPr>
        <w:t xml:space="preserve">именно </w:t>
      </w:r>
      <w:r w:rsidR="00274140" w:rsidRPr="00F32161">
        <w:rPr>
          <w:rFonts w:ascii="Bookman Old Style" w:hAnsi="Bookman Old Style"/>
        </w:rPr>
        <w:t>той е използвал конкретни агитационни материали, а такива данни или дори твърдения липсват</w:t>
      </w:r>
      <w:r w:rsidR="00524BB2" w:rsidRPr="00F32161">
        <w:rPr>
          <w:rFonts w:ascii="Bookman Old Style" w:hAnsi="Bookman Old Style"/>
        </w:rPr>
        <w:t xml:space="preserve"> в решението на ЦИК</w:t>
      </w:r>
      <w:r w:rsidR="00274140" w:rsidRPr="00F32161">
        <w:rPr>
          <w:rFonts w:ascii="Bookman Old Style" w:hAnsi="Bookman Old Style"/>
        </w:rPr>
        <w:t>.</w:t>
      </w:r>
      <w:r w:rsidR="00F508D0" w:rsidRPr="00F32161">
        <w:rPr>
          <w:rFonts w:ascii="Bookman Old Style" w:hAnsi="Bookman Old Style"/>
        </w:rPr>
        <w:t xml:space="preserve"> За да може да бъде установено конкретно лицето, което е използвало агитационните материали, следва да се проучи въпросът по какъв начин са поставени </w:t>
      </w:r>
      <w:r w:rsidR="00F508D0" w:rsidRPr="00A03735">
        <w:rPr>
          <w:rFonts w:ascii="Bookman Old Style" w:hAnsi="Bookman Old Style"/>
        </w:rPr>
        <w:t xml:space="preserve">тези агитационни материали, чия е собствеността над обектите, върху които се намират, налице ли са сключени договори за наем или друг вид договор, </w:t>
      </w:r>
      <w:r w:rsidR="0051798C">
        <w:rPr>
          <w:rFonts w:ascii="Bookman Old Style" w:hAnsi="Bookman Old Style"/>
        </w:rPr>
        <w:t>кои са страните по договора</w:t>
      </w:r>
      <w:r w:rsidR="00F508D0" w:rsidRPr="00A03735">
        <w:rPr>
          <w:rFonts w:ascii="Bookman Old Style" w:hAnsi="Bookman Old Style"/>
        </w:rPr>
        <w:t>, кой е извършвал плащанията по тях ако са налице такива и т.н.</w:t>
      </w:r>
      <w:r w:rsidR="00524BB2" w:rsidRPr="00A03735">
        <w:rPr>
          <w:rFonts w:ascii="Bookman Old Style" w:hAnsi="Bookman Old Style"/>
        </w:rPr>
        <w:t>, т.е. да се установи по безспорен начин използването.</w:t>
      </w:r>
      <w:r w:rsidR="00F508D0" w:rsidRPr="00A03735">
        <w:rPr>
          <w:rFonts w:ascii="Bookman Old Style" w:hAnsi="Bookman Old Style"/>
        </w:rPr>
        <w:t xml:space="preserve"> В същото време на агитационния материал са снимки на г-н Борисов и г-н Пеевски, които обаче не се </w:t>
      </w:r>
      <w:r w:rsidR="00115DEA" w:rsidRPr="00A03735">
        <w:rPr>
          <w:rFonts w:ascii="Bookman Old Style" w:hAnsi="Bookman Old Style"/>
        </w:rPr>
        <w:t>установява да се извършили нарушение и не е ясно каква е разликата между тях и г-н Денков</w:t>
      </w:r>
      <w:r w:rsidR="00F508D0" w:rsidRPr="00A03735">
        <w:rPr>
          <w:rFonts w:ascii="Bookman Old Style" w:hAnsi="Bookman Old Style"/>
        </w:rPr>
        <w:t>.</w:t>
      </w:r>
    </w:p>
    <w:p w:rsidR="00C811CD" w:rsidRPr="00F32161" w:rsidRDefault="00C811CD" w:rsidP="00066FEC">
      <w:pPr>
        <w:spacing w:line="240" w:lineRule="auto"/>
        <w:rPr>
          <w:rFonts w:ascii="Bookman Old Style" w:hAnsi="Bookman Old Style"/>
          <w:sz w:val="24"/>
          <w:szCs w:val="24"/>
          <w:lang w:val="bg-BG"/>
        </w:rPr>
      </w:pPr>
    </w:p>
    <w:p w:rsidR="00C811CD" w:rsidRPr="00F32161" w:rsidRDefault="00C811CD" w:rsidP="00066FEC">
      <w:pPr>
        <w:spacing w:line="240" w:lineRule="auto"/>
        <w:ind w:firstLine="708"/>
        <w:rPr>
          <w:rFonts w:ascii="Bookman Old Style" w:hAnsi="Bookman Old Style"/>
          <w:sz w:val="24"/>
          <w:szCs w:val="24"/>
          <w:lang w:val="bg-BG"/>
        </w:rPr>
      </w:pPr>
      <w:r w:rsidRPr="00F32161">
        <w:rPr>
          <w:rFonts w:ascii="Bookman Old Style" w:hAnsi="Bookman Old Style"/>
          <w:sz w:val="24"/>
          <w:szCs w:val="24"/>
          <w:lang w:val="bg-BG"/>
        </w:rPr>
        <w:t>По изложените по-горе съображения подпис</w:t>
      </w:r>
      <w:r w:rsidR="00342A8E">
        <w:rPr>
          <w:rFonts w:ascii="Bookman Old Style" w:hAnsi="Bookman Old Style"/>
          <w:sz w:val="24"/>
          <w:szCs w:val="24"/>
          <w:lang w:val="bg-BG"/>
        </w:rPr>
        <w:t xml:space="preserve">ваме решението с особено </w:t>
      </w:r>
      <w:r w:rsidR="001547C4">
        <w:rPr>
          <w:rFonts w:ascii="Bookman Old Style" w:hAnsi="Bookman Old Style"/>
          <w:sz w:val="24"/>
          <w:szCs w:val="24"/>
          <w:lang w:val="bg-BG"/>
        </w:rPr>
        <w:t xml:space="preserve">мнение: </w:t>
      </w:r>
    </w:p>
    <w:p w:rsidR="00C811CD" w:rsidRPr="00F32161" w:rsidRDefault="00C811CD" w:rsidP="00066FEC">
      <w:pPr>
        <w:spacing w:line="240" w:lineRule="auto"/>
        <w:rPr>
          <w:rFonts w:ascii="Bookman Old Style" w:eastAsia="Times New Roman" w:hAnsi="Bookman Old Style" w:cs="Times New Roman"/>
          <w:sz w:val="24"/>
          <w:szCs w:val="24"/>
          <w:lang w:val="bg-BG" w:eastAsia="bg-BG"/>
        </w:rPr>
      </w:pPr>
    </w:p>
    <w:p w:rsidR="00C811CD" w:rsidRPr="00F32161" w:rsidRDefault="00C811CD" w:rsidP="00066FEC">
      <w:pPr>
        <w:spacing w:line="240" w:lineRule="auto"/>
        <w:ind w:left="3540" w:firstLine="708"/>
        <w:rPr>
          <w:rFonts w:ascii="Bookman Old Style" w:eastAsia="Times New Roman" w:hAnsi="Bookman Old Style" w:cs="Times New Roman"/>
          <w:sz w:val="24"/>
          <w:szCs w:val="24"/>
          <w:lang w:val="bg-BG" w:eastAsia="bg-BG"/>
        </w:rPr>
      </w:pPr>
      <w:r w:rsidRPr="00F32161">
        <w:rPr>
          <w:rFonts w:ascii="Bookman Old Style" w:eastAsia="Times New Roman" w:hAnsi="Bookman Old Style" w:cs="Times New Roman"/>
          <w:sz w:val="24"/>
          <w:szCs w:val="24"/>
          <w:lang w:val="bg-BG" w:eastAsia="bg-BG"/>
        </w:rPr>
        <w:t>Секретар:</w:t>
      </w:r>
    </w:p>
    <w:p w:rsidR="00C811CD" w:rsidRPr="00F32161" w:rsidRDefault="00C811CD" w:rsidP="00066FEC">
      <w:pPr>
        <w:spacing w:line="240" w:lineRule="auto"/>
        <w:ind w:left="4248" w:firstLine="708"/>
        <w:rPr>
          <w:rFonts w:ascii="Bookman Old Style" w:eastAsia="Times New Roman" w:hAnsi="Bookman Old Style" w:cs="Times New Roman"/>
          <w:i/>
          <w:sz w:val="24"/>
          <w:szCs w:val="24"/>
          <w:lang w:val="bg-BG" w:eastAsia="bg-BG"/>
        </w:rPr>
      </w:pPr>
      <w:r w:rsidRPr="00F32161">
        <w:rPr>
          <w:rFonts w:ascii="Bookman Old Style" w:eastAsia="Times New Roman" w:hAnsi="Bookman Old Style" w:cs="Times New Roman"/>
          <w:i/>
          <w:sz w:val="24"/>
          <w:szCs w:val="24"/>
          <w:lang w:val="bg-BG" w:eastAsia="bg-BG"/>
        </w:rPr>
        <w:t>/Добри Тенчев Тенев/</w:t>
      </w:r>
    </w:p>
    <w:p w:rsidR="00C811CD" w:rsidRPr="00F32161" w:rsidRDefault="00C811CD" w:rsidP="00342A8E">
      <w:pPr>
        <w:spacing w:line="240" w:lineRule="auto"/>
        <w:rPr>
          <w:rFonts w:ascii="Bookman Old Style" w:eastAsia="Times New Roman" w:hAnsi="Bookman Old Style" w:cs="Times New Roman"/>
          <w:i/>
          <w:sz w:val="24"/>
          <w:szCs w:val="24"/>
          <w:lang w:val="bg-BG" w:eastAsia="bg-BG"/>
        </w:rPr>
      </w:pPr>
    </w:p>
    <w:p w:rsidR="00C811CD" w:rsidRPr="00F32161" w:rsidRDefault="00C811CD" w:rsidP="00066FEC">
      <w:pPr>
        <w:spacing w:line="240" w:lineRule="auto"/>
        <w:ind w:left="2880" w:firstLine="720"/>
        <w:rPr>
          <w:rFonts w:ascii="Bookman Old Style" w:hAnsi="Bookman Old Style" w:cs="Times New Roman"/>
          <w:sz w:val="24"/>
          <w:szCs w:val="24"/>
          <w:lang w:val="bg-BG"/>
        </w:rPr>
      </w:pPr>
      <w:r w:rsidRPr="00F32161">
        <w:rPr>
          <w:rFonts w:ascii="Bookman Old Style" w:eastAsia="Times New Roman" w:hAnsi="Bookman Old Style" w:cs="Times New Roman"/>
          <w:sz w:val="24"/>
          <w:szCs w:val="24"/>
          <w:lang w:val="bg-BG" w:eastAsia="bg-BG"/>
        </w:rPr>
        <w:t xml:space="preserve">Членове на </w:t>
      </w:r>
      <w:r w:rsidRPr="00F32161">
        <w:rPr>
          <w:rFonts w:ascii="Bookman Old Style" w:hAnsi="Bookman Old Style" w:cs="Times New Roman"/>
          <w:sz w:val="24"/>
          <w:szCs w:val="24"/>
          <w:lang w:val="bg-BG"/>
        </w:rPr>
        <w:t>РИК в 24 ИР – София:</w:t>
      </w:r>
    </w:p>
    <w:p w:rsidR="00C811CD" w:rsidRPr="00F32161" w:rsidRDefault="00C811CD" w:rsidP="00066FEC">
      <w:pPr>
        <w:spacing w:line="240" w:lineRule="auto"/>
        <w:ind w:left="2880" w:firstLine="720"/>
        <w:rPr>
          <w:rFonts w:ascii="Bookman Old Style" w:hAnsi="Bookman Old Style" w:cs="Times New Roman"/>
          <w:sz w:val="24"/>
          <w:szCs w:val="24"/>
          <w:lang w:val="bg-BG"/>
        </w:rPr>
      </w:pPr>
    </w:p>
    <w:p w:rsidR="00C811CD" w:rsidRPr="00F32161" w:rsidRDefault="00C811CD" w:rsidP="00066FEC">
      <w:pPr>
        <w:spacing w:line="240" w:lineRule="auto"/>
        <w:ind w:left="2880" w:firstLine="720"/>
        <w:rPr>
          <w:rFonts w:ascii="Bookman Old Style" w:hAnsi="Bookman Old Style" w:cs="Times New Roman"/>
          <w:i/>
          <w:sz w:val="24"/>
          <w:szCs w:val="24"/>
          <w:lang w:val="bg-BG"/>
        </w:rPr>
      </w:pPr>
      <w:r w:rsidRPr="00F32161">
        <w:rPr>
          <w:rFonts w:ascii="Bookman Old Style" w:hAnsi="Bookman Old Style" w:cs="Times New Roman"/>
          <w:i/>
          <w:sz w:val="24"/>
          <w:szCs w:val="24"/>
          <w:lang w:val="bg-BG"/>
        </w:rPr>
        <w:t>/Александър Стоилов Стоев/</w:t>
      </w:r>
    </w:p>
    <w:p w:rsidR="00C811CD" w:rsidRPr="00F32161" w:rsidRDefault="00C811CD" w:rsidP="00066FEC">
      <w:pPr>
        <w:spacing w:line="240" w:lineRule="auto"/>
        <w:ind w:left="2880" w:firstLine="720"/>
        <w:rPr>
          <w:rFonts w:ascii="Bookman Old Style" w:hAnsi="Bookman Old Style" w:cs="Times New Roman"/>
          <w:i/>
          <w:sz w:val="24"/>
          <w:szCs w:val="24"/>
          <w:lang w:val="bg-BG"/>
        </w:rPr>
      </w:pPr>
    </w:p>
    <w:p w:rsidR="00C811CD" w:rsidRPr="00F32161" w:rsidRDefault="00C811CD" w:rsidP="00066FEC">
      <w:pPr>
        <w:spacing w:line="240" w:lineRule="auto"/>
        <w:ind w:left="2880" w:firstLine="720"/>
        <w:rPr>
          <w:rFonts w:ascii="Bookman Old Style" w:hAnsi="Bookman Old Style" w:cs="Times New Roman"/>
          <w:i/>
          <w:sz w:val="24"/>
          <w:szCs w:val="24"/>
          <w:lang w:val="bg-BG"/>
        </w:rPr>
      </w:pPr>
      <w:r w:rsidRPr="00F32161">
        <w:rPr>
          <w:rFonts w:ascii="Bookman Old Style" w:hAnsi="Bookman Old Style" w:cs="Times New Roman"/>
          <w:i/>
          <w:sz w:val="24"/>
          <w:szCs w:val="24"/>
          <w:lang w:val="bg-BG"/>
        </w:rPr>
        <w:t>/Ивайло Христов Коев/</w:t>
      </w:r>
    </w:p>
    <w:p w:rsidR="00C811CD" w:rsidRPr="00F32161" w:rsidRDefault="00C811CD" w:rsidP="00066FEC">
      <w:pPr>
        <w:spacing w:line="240" w:lineRule="auto"/>
        <w:ind w:left="2880" w:firstLine="720"/>
        <w:rPr>
          <w:rFonts w:ascii="Bookman Old Style" w:hAnsi="Bookman Old Style" w:cs="Times New Roman"/>
          <w:i/>
          <w:sz w:val="24"/>
          <w:szCs w:val="24"/>
          <w:lang w:val="bg-BG"/>
        </w:rPr>
      </w:pPr>
    </w:p>
    <w:p w:rsidR="00EC4AE8" w:rsidRPr="00F32161" w:rsidRDefault="00C811CD" w:rsidP="00066FEC">
      <w:pPr>
        <w:spacing w:line="240" w:lineRule="auto"/>
        <w:ind w:left="2880" w:firstLine="720"/>
        <w:rPr>
          <w:rFonts w:ascii="Bookman Old Style" w:hAnsi="Bookman Old Style" w:cs="Times New Roman"/>
          <w:i/>
          <w:sz w:val="24"/>
          <w:szCs w:val="24"/>
          <w:lang w:val="bg-BG"/>
        </w:rPr>
      </w:pPr>
      <w:r w:rsidRPr="00F32161">
        <w:rPr>
          <w:rFonts w:ascii="Bookman Old Style" w:hAnsi="Bookman Old Style" w:cs="Times New Roman"/>
          <w:i/>
          <w:sz w:val="24"/>
          <w:szCs w:val="24"/>
          <w:lang w:val="bg-BG"/>
        </w:rPr>
        <w:t>/</w:t>
      </w:r>
      <w:bookmarkStart w:id="0" w:name="_GoBack"/>
      <w:bookmarkEnd w:id="0"/>
      <w:r w:rsidRPr="00F32161">
        <w:rPr>
          <w:rFonts w:ascii="Bookman Old Style" w:hAnsi="Bookman Old Style" w:cs="Times New Roman"/>
          <w:i/>
          <w:sz w:val="24"/>
          <w:szCs w:val="24"/>
          <w:lang w:val="bg-BG"/>
        </w:rPr>
        <w:t>Петър Цанков Георгиев /</w:t>
      </w:r>
    </w:p>
    <w:sectPr w:rsidR="00EC4AE8" w:rsidRPr="00F3216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CCA" w:rsidRDefault="00355CCA" w:rsidP="005F2CAD">
      <w:pPr>
        <w:spacing w:line="240" w:lineRule="auto"/>
      </w:pPr>
      <w:r>
        <w:separator/>
      </w:r>
    </w:p>
  </w:endnote>
  <w:endnote w:type="continuationSeparator" w:id="0">
    <w:p w:rsidR="00355CCA" w:rsidRDefault="00355CCA" w:rsidP="005F2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8183988"/>
      <w:docPartObj>
        <w:docPartGallery w:val="Page Numbers (Bottom of Page)"/>
        <w:docPartUnique/>
      </w:docPartObj>
    </w:sdtPr>
    <w:sdtEndPr>
      <w:rPr>
        <w:noProof/>
      </w:rPr>
    </w:sdtEndPr>
    <w:sdtContent>
      <w:p w:rsidR="00957D05" w:rsidRDefault="00957D05" w:rsidP="00342A8E">
        <w:pPr>
          <w:pStyle w:val="Footer"/>
          <w:jc w:val="center"/>
        </w:pPr>
        <w:r>
          <w:fldChar w:fldCharType="begin"/>
        </w:r>
        <w:r>
          <w:instrText xml:space="preserve"> PAGE   \* MERGEFORMAT </w:instrText>
        </w:r>
        <w:r>
          <w:fldChar w:fldCharType="separate"/>
        </w:r>
        <w:r w:rsidR="002D2D5F">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CCA" w:rsidRDefault="00355CCA" w:rsidP="005F2CAD">
      <w:pPr>
        <w:spacing w:line="240" w:lineRule="auto"/>
      </w:pPr>
      <w:r>
        <w:separator/>
      </w:r>
    </w:p>
  </w:footnote>
  <w:footnote w:type="continuationSeparator" w:id="0">
    <w:p w:rsidR="00355CCA" w:rsidRDefault="00355CCA" w:rsidP="005F2CAD">
      <w:pPr>
        <w:spacing w:line="240" w:lineRule="auto"/>
      </w:pPr>
      <w:r>
        <w:continuationSeparator/>
      </w:r>
    </w:p>
  </w:footnote>
  <w:footnote w:id="1">
    <w:p w:rsidR="00957D05" w:rsidRPr="009816FC" w:rsidRDefault="00957D05" w:rsidP="009816FC">
      <w:pPr>
        <w:pStyle w:val="FootnoteText"/>
        <w:jc w:val="both"/>
        <w:rPr>
          <w:rFonts w:ascii="Bookman Old Style" w:hAnsi="Bookman Old Style"/>
          <w:lang w:val="bg-BG"/>
        </w:rPr>
      </w:pPr>
      <w:r w:rsidRPr="009816FC">
        <w:rPr>
          <w:rStyle w:val="FootnoteReference"/>
          <w:rFonts w:ascii="Bookman Old Style" w:hAnsi="Bookman Old Style"/>
          <w:lang w:val="bg-BG"/>
        </w:rPr>
        <w:footnoteRef/>
      </w:r>
      <w:r w:rsidRPr="009816FC">
        <w:rPr>
          <w:rFonts w:ascii="Bookman Old Style" w:hAnsi="Bookman Old Style"/>
          <w:lang w:val="bg-BG"/>
        </w:rPr>
        <w:t xml:space="preserve"> Така Решение № 10936 от 21.10.2015 г. по адм. д. № 11993/2015 на Върховния административен съд: „</w:t>
      </w:r>
      <w:r w:rsidRPr="009816FC">
        <w:rPr>
          <w:rFonts w:ascii="Bookman Old Style" w:hAnsi="Bookman Old Style"/>
          <w:i/>
          <w:lang w:val="bg-BG"/>
        </w:rPr>
        <w:t>В случая е установено нарушение на ИК - чл.183, ал.2 от него, и агитационните материали във вестника и в електронното му издание са били разпространени без териториално ограничение /на повече от един изборен район/, както и са се отнасяли за повече от един изборен район – за общо десет изборни района“</w:t>
      </w:r>
      <w:r w:rsidRPr="009816FC">
        <w:rPr>
          <w:rFonts w:ascii="Bookman Old Style" w:hAnsi="Bookman Old Style"/>
          <w:lang w:val="bg-BG"/>
        </w:rPr>
        <w:t>.</w:t>
      </w:r>
    </w:p>
    <w:p w:rsidR="00957D05" w:rsidRPr="009816FC" w:rsidRDefault="00957D05" w:rsidP="009816FC">
      <w:pPr>
        <w:pStyle w:val="FootnoteText"/>
        <w:jc w:val="both"/>
        <w:rPr>
          <w:rFonts w:ascii="Bookman Old Style" w:hAnsi="Bookman Old Style"/>
          <w:lang w:val="bg-BG"/>
        </w:rPr>
      </w:pPr>
      <w:r w:rsidRPr="009816FC">
        <w:rPr>
          <w:rFonts w:ascii="Bookman Old Style" w:hAnsi="Bookman Old Style"/>
          <w:lang w:val="bg-BG"/>
        </w:rPr>
        <w:t xml:space="preserve">В тази насока и Решение № 7354 от 16.05.2019 г. по адм. д. № 5499/2019 на Върховния административен съд: </w:t>
      </w:r>
      <w:r w:rsidRPr="009816FC">
        <w:rPr>
          <w:rFonts w:ascii="Bookman Old Style" w:hAnsi="Bookman Old Style"/>
          <w:i/>
          <w:lang w:val="bg-BG"/>
        </w:rPr>
        <w:t>„С разпоредбата на чл. 57, ал. 1, т. 45 ИК законодателят е предоставил правомощия на ЦИК за постановяване на решение за премахване или изземване на агитационни материали, поставени или разпространени в нарушение на кодекса, на територията на повече от един избирателен район, без да са посочени изчерпателно видовете агитационни материали, от което следва, че правомощието се отнася за всички материали, които носят белезите на агитационни материали“</w:t>
      </w:r>
      <w:r w:rsidRPr="009816FC">
        <w:rPr>
          <w:rFonts w:ascii="Bookman Old Style" w:hAnsi="Bookman Old Style"/>
          <w:lang w:val="bg-BG"/>
        </w:rPr>
        <w:t>.</w:t>
      </w:r>
    </w:p>
    <w:p w:rsidR="00957D05" w:rsidRPr="009816FC" w:rsidRDefault="00957D05" w:rsidP="009816FC">
      <w:pPr>
        <w:pStyle w:val="FootnoteText"/>
        <w:jc w:val="both"/>
        <w:rPr>
          <w:rFonts w:ascii="Bookman Old Style" w:hAnsi="Bookman Old Style"/>
          <w:lang w:val="bg-BG"/>
        </w:rPr>
      </w:pPr>
    </w:p>
  </w:footnote>
  <w:footnote w:id="2">
    <w:p w:rsidR="00957D05" w:rsidRPr="009816FC" w:rsidRDefault="00957D05" w:rsidP="009816FC">
      <w:pPr>
        <w:pStyle w:val="FootnoteText"/>
        <w:jc w:val="both"/>
        <w:rPr>
          <w:rFonts w:ascii="Bookman Old Style" w:hAnsi="Bookman Old Style"/>
          <w:lang w:val="bg-BG"/>
        </w:rPr>
      </w:pPr>
      <w:r w:rsidRPr="009816FC">
        <w:rPr>
          <w:rStyle w:val="FootnoteReference"/>
          <w:rFonts w:ascii="Bookman Old Style" w:hAnsi="Bookman Old Style"/>
        </w:rPr>
        <w:footnoteRef/>
      </w:r>
      <w:r w:rsidRPr="009816FC">
        <w:rPr>
          <w:rFonts w:ascii="Bookman Old Style" w:hAnsi="Bookman Old Style"/>
        </w:rPr>
        <w:t xml:space="preserve"> </w:t>
      </w:r>
      <w:proofErr w:type="spellStart"/>
      <w:r w:rsidRPr="009816FC">
        <w:rPr>
          <w:rFonts w:ascii="Bookman Old Style" w:hAnsi="Bookman Old Style"/>
        </w:rPr>
        <w:t>Решение</w:t>
      </w:r>
      <w:proofErr w:type="spellEnd"/>
      <w:r w:rsidRPr="009816FC">
        <w:rPr>
          <w:rFonts w:ascii="Bookman Old Style" w:hAnsi="Bookman Old Style"/>
        </w:rPr>
        <w:t xml:space="preserve"> № 10835 </w:t>
      </w:r>
      <w:proofErr w:type="spellStart"/>
      <w:r w:rsidRPr="009816FC">
        <w:rPr>
          <w:rFonts w:ascii="Bookman Old Style" w:hAnsi="Bookman Old Style"/>
        </w:rPr>
        <w:t>от</w:t>
      </w:r>
      <w:proofErr w:type="spellEnd"/>
      <w:r w:rsidRPr="009816FC">
        <w:rPr>
          <w:rFonts w:ascii="Bookman Old Style" w:hAnsi="Bookman Old Style"/>
        </w:rPr>
        <w:t xml:space="preserve"> 16.10.2015 г. по адм. д. № 11902/2015 </w:t>
      </w:r>
      <w:proofErr w:type="spellStart"/>
      <w:r w:rsidRPr="009816FC">
        <w:rPr>
          <w:rFonts w:ascii="Bookman Old Style" w:hAnsi="Bookman Old Style"/>
        </w:rPr>
        <w:t>на</w:t>
      </w:r>
      <w:proofErr w:type="spellEnd"/>
      <w:r w:rsidRPr="009816FC">
        <w:rPr>
          <w:rFonts w:ascii="Bookman Old Style" w:hAnsi="Bookman Old Style"/>
        </w:rPr>
        <w:t xml:space="preserve"> </w:t>
      </w:r>
      <w:proofErr w:type="spellStart"/>
      <w:r w:rsidRPr="009816FC">
        <w:rPr>
          <w:rFonts w:ascii="Bookman Old Style" w:hAnsi="Bookman Old Style"/>
        </w:rPr>
        <w:t>Върховния</w:t>
      </w:r>
      <w:proofErr w:type="spellEnd"/>
      <w:r w:rsidRPr="009816FC">
        <w:rPr>
          <w:rFonts w:ascii="Bookman Old Style" w:hAnsi="Bookman Old Style"/>
        </w:rPr>
        <w:t xml:space="preserve"> </w:t>
      </w:r>
      <w:proofErr w:type="spellStart"/>
      <w:r w:rsidRPr="009816FC">
        <w:rPr>
          <w:rFonts w:ascii="Bookman Old Style" w:hAnsi="Bookman Old Style"/>
        </w:rPr>
        <w:t>административен</w:t>
      </w:r>
      <w:proofErr w:type="spellEnd"/>
      <w:r w:rsidRPr="009816FC">
        <w:rPr>
          <w:rFonts w:ascii="Bookman Old Style" w:hAnsi="Bookman Old Style"/>
        </w:rPr>
        <w:t xml:space="preserve"> </w:t>
      </w:r>
      <w:proofErr w:type="spellStart"/>
      <w:r w:rsidRPr="009816FC">
        <w:rPr>
          <w:rFonts w:ascii="Bookman Old Style" w:hAnsi="Bookman Old Style"/>
        </w:rPr>
        <w:t>съд</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D328E"/>
    <w:multiLevelType w:val="multilevel"/>
    <w:tmpl w:val="A5A2EB36"/>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878"/>
    <w:rsid w:val="00057E25"/>
    <w:rsid w:val="00066FEC"/>
    <w:rsid w:val="00115DEA"/>
    <w:rsid w:val="00144EA6"/>
    <w:rsid w:val="001547C4"/>
    <w:rsid w:val="00154D29"/>
    <w:rsid w:val="00161977"/>
    <w:rsid w:val="00272E69"/>
    <w:rsid w:val="00274140"/>
    <w:rsid w:val="002D2D5F"/>
    <w:rsid w:val="002F1DCE"/>
    <w:rsid w:val="00342A8E"/>
    <w:rsid w:val="00355CCA"/>
    <w:rsid w:val="00371B40"/>
    <w:rsid w:val="003B2682"/>
    <w:rsid w:val="00453929"/>
    <w:rsid w:val="004A6130"/>
    <w:rsid w:val="004A71CB"/>
    <w:rsid w:val="0051798C"/>
    <w:rsid w:val="00524BB2"/>
    <w:rsid w:val="00530D29"/>
    <w:rsid w:val="005D04B9"/>
    <w:rsid w:val="005D4892"/>
    <w:rsid w:val="005F2CAD"/>
    <w:rsid w:val="0064517A"/>
    <w:rsid w:val="006C5652"/>
    <w:rsid w:val="006F5DCA"/>
    <w:rsid w:val="00701804"/>
    <w:rsid w:val="00827D22"/>
    <w:rsid w:val="0083683B"/>
    <w:rsid w:val="00957D05"/>
    <w:rsid w:val="00972C1B"/>
    <w:rsid w:val="009816FC"/>
    <w:rsid w:val="009B4878"/>
    <w:rsid w:val="00A03735"/>
    <w:rsid w:val="00A250F5"/>
    <w:rsid w:val="00AA7082"/>
    <w:rsid w:val="00AB1EFA"/>
    <w:rsid w:val="00B62A53"/>
    <w:rsid w:val="00C6207A"/>
    <w:rsid w:val="00C811CD"/>
    <w:rsid w:val="00C87481"/>
    <w:rsid w:val="00CC4AC3"/>
    <w:rsid w:val="00D362E0"/>
    <w:rsid w:val="00EC4AE8"/>
    <w:rsid w:val="00F25F04"/>
    <w:rsid w:val="00F32161"/>
    <w:rsid w:val="00F508D0"/>
    <w:rsid w:val="00F67CB0"/>
    <w:rsid w:val="00FA4E4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3D29B"/>
  <w15:docId w15:val="{2C0A9FFC-FEB6-439B-A5ED-33A194347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130"/>
    <w:pPr>
      <w:spacing w:after="0"/>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A6130"/>
    <w:pPr>
      <w:spacing w:line="240" w:lineRule="auto"/>
      <w:ind w:left="720"/>
      <w:contextualSpacing/>
      <w:jc w:val="left"/>
    </w:pPr>
    <w:rPr>
      <w:rFonts w:ascii="Times New Roman" w:eastAsia="Times New Roman" w:hAnsi="Times New Roman" w:cs="Times New Roman"/>
      <w:sz w:val="24"/>
      <w:szCs w:val="24"/>
      <w:lang w:val="bg-BG" w:eastAsia="bg-BG"/>
    </w:rPr>
  </w:style>
  <w:style w:type="paragraph" w:styleId="FootnoteText">
    <w:name w:val="footnote text"/>
    <w:basedOn w:val="Normal"/>
    <w:link w:val="FootnoteTextChar"/>
    <w:uiPriority w:val="99"/>
    <w:semiHidden/>
    <w:unhideWhenUsed/>
    <w:rsid w:val="005F2CAD"/>
    <w:pPr>
      <w:spacing w:line="240" w:lineRule="auto"/>
      <w:jc w:val="left"/>
    </w:pPr>
    <w:rPr>
      <w:sz w:val="20"/>
      <w:szCs w:val="20"/>
    </w:rPr>
  </w:style>
  <w:style w:type="character" w:customStyle="1" w:styleId="FootnoteTextChar">
    <w:name w:val="Footnote Text Char"/>
    <w:basedOn w:val="DefaultParagraphFont"/>
    <w:link w:val="FootnoteText"/>
    <w:uiPriority w:val="99"/>
    <w:semiHidden/>
    <w:rsid w:val="005F2CAD"/>
    <w:rPr>
      <w:sz w:val="20"/>
      <w:szCs w:val="20"/>
      <w:lang w:val="en-US"/>
    </w:rPr>
  </w:style>
  <w:style w:type="character" w:styleId="FootnoteReference">
    <w:name w:val="footnote reference"/>
    <w:basedOn w:val="DefaultParagraphFont"/>
    <w:uiPriority w:val="99"/>
    <w:semiHidden/>
    <w:unhideWhenUsed/>
    <w:rsid w:val="005F2CAD"/>
    <w:rPr>
      <w:vertAlign w:val="superscript"/>
    </w:rPr>
  </w:style>
  <w:style w:type="paragraph" w:styleId="Header">
    <w:name w:val="header"/>
    <w:basedOn w:val="Normal"/>
    <w:link w:val="HeaderChar"/>
    <w:uiPriority w:val="99"/>
    <w:unhideWhenUsed/>
    <w:rsid w:val="00371B40"/>
    <w:pPr>
      <w:tabs>
        <w:tab w:val="center" w:pos="4536"/>
        <w:tab w:val="right" w:pos="9072"/>
      </w:tabs>
      <w:spacing w:line="240" w:lineRule="auto"/>
    </w:pPr>
  </w:style>
  <w:style w:type="character" w:customStyle="1" w:styleId="HeaderChar">
    <w:name w:val="Header Char"/>
    <w:basedOn w:val="DefaultParagraphFont"/>
    <w:link w:val="Header"/>
    <w:uiPriority w:val="99"/>
    <w:rsid w:val="00371B40"/>
    <w:rPr>
      <w:lang w:val="en-US"/>
    </w:rPr>
  </w:style>
  <w:style w:type="paragraph" w:styleId="Footer">
    <w:name w:val="footer"/>
    <w:basedOn w:val="Normal"/>
    <w:link w:val="FooterChar"/>
    <w:uiPriority w:val="99"/>
    <w:unhideWhenUsed/>
    <w:rsid w:val="00371B40"/>
    <w:pPr>
      <w:tabs>
        <w:tab w:val="center" w:pos="4536"/>
        <w:tab w:val="right" w:pos="9072"/>
      </w:tabs>
      <w:spacing w:line="240" w:lineRule="auto"/>
    </w:pPr>
  </w:style>
  <w:style w:type="character" w:customStyle="1" w:styleId="FooterChar">
    <w:name w:val="Footer Char"/>
    <w:basedOn w:val="DefaultParagraphFont"/>
    <w:link w:val="Footer"/>
    <w:uiPriority w:val="99"/>
    <w:rsid w:val="00371B4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9E005-F09D-4EDA-A4F3-7085FE0A0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1605</Words>
  <Characters>9150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Dobri Tenev</dc:creator>
  <cp:keywords/>
  <dc:description/>
  <cp:lastModifiedBy>User</cp:lastModifiedBy>
  <cp:revision>3</cp:revision>
  <dcterms:created xsi:type="dcterms:W3CDTF">2024-05-29T16:41:00Z</dcterms:created>
  <dcterms:modified xsi:type="dcterms:W3CDTF">2024-05-29T16:41:00Z</dcterms:modified>
</cp:coreProperties>
</file>